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D9" w:rsidRDefault="00EA15D9" w:rsidP="00C24196">
      <w:pPr>
        <w:tabs>
          <w:tab w:val="left" w:pos="851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40C56E3" wp14:editId="137D0B4C">
            <wp:extent cx="2447925" cy="628650"/>
            <wp:effectExtent l="0" t="0" r="9525" b="0"/>
            <wp:docPr id="2" name="Obraz 2" descr="C:\Users\SOCP-GOSIA\Desktop\STATUT, REGULAMINY\logotypy SOCP\soc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SOCP-GOSIA\Desktop\STATUT, REGULAMINY\logotypy SOCP\soc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D9" w:rsidRDefault="00EA15D9" w:rsidP="00EA15D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Program szkolenia:</w:t>
      </w:r>
    </w:p>
    <w:p w:rsidR="00AA51AA" w:rsidRPr="007B265F" w:rsidRDefault="00AA51AA" w:rsidP="00EA15D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7B265F">
        <w:rPr>
          <w:b/>
          <w:color w:val="C00000"/>
          <w:sz w:val="36"/>
          <w:szCs w:val="36"/>
        </w:rPr>
        <w:t>PODATKI VAT I CIT</w:t>
      </w:r>
      <w:r w:rsidR="00EA15D9" w:rsidRPr="007B265F">
        <w:rPr>
          <w:b/>
          <w:color w:val="C00000"/>
          <w:sz w:val="36"/>
          <w:szCs w:val="36"/>
        </w:rPr>
        <w:t xml:space="preserve"> </w:t>
      </w:r>
      <w:r w:rsidRPr="007B265F">
        <w:rPr>
          <w:b/>
          <w:color w:val="C00000"/>
          <w:sz w:val="36"/>
          <w:szCs w:val="36"/>
        </w:rPr>
        <w:t>- REGULACJE W 2018 i ZMIANY NA 2019</w:t>
      </w:r>
    </w:p>
    <w:p w:rsidR="00AA51AA" w:rsidRDefault="00AA51AA" w:rsidP="00AA51AA">
      <w:pPr>
        <w:jc w:val="center"/>
        <w:rPr>
          <w:b/>
        </w:rPr>
      </w:pPr>
    </w:p>
    <w:p w:rsidR="00AA51AA" w:rsidRPr="00EA15D9" w:rsidRDefault="00AA51AA" w:rsidP="00AA51AA">
      <w:pPr>
        <w:pStyle w:val="NormalnyWeb"/>
        <w:rPr>
          <w:color w:val="C00000"/>
          <w:u w:val="single"/>
        </w:rPr>
      </w:pPr>
      <w:r w:rsidRPr="00EA15D9">
        <w:rPr>
          <w:rStyle w:val="Pogrubienie"/>
          <w:color w:val="C00000"/>
          <w:u w:val="single"/>
        </w:rPr>
        <w:t>I. część Zmiany w VAT w 2018 i 2019</w:t>
      </w:r>
    </w:p>
    <w:p w:rsidR="00EA15D9" w:rsidRPr="00EA15D9" w:rsidRDefault="00AA51AA" w:rsidP="00EA15D9">
      <w:pPr>
        <w:pStyle w:val="NormalnyWeb"/>
        <w:contextualSpacing/>
        <w:jc w:val="both"/>
        <w:rPr>
          <w:b/>
        </w:rPr>
      </w:pPr>
      <w:r w:rsidRPr="00EA15D9">
        <w:rPr>
          <w:b/>
        </w:rPr>
        <w:t>1. Zmiany w VAT zaplanowane przez MF na 2019 r.:</w:t>
      </w:r>
    </w:p>
    <w:p w:rsidR="00EA15D9" w:rsidRDefault="00AA51AA" w:rsidP="00EA15D9">
      <w:pPr>
        <w:pStyle w:val="NormalnyWeb"/>
        <w:contextualSpacing/>
        <w:jc w:val="both"/>
      </w:pPr>
      <w:r>
        <w:t>a) nowe zasady rozliczania bonów, voucherów oraz kart podarunkowych,</w:t>
      </w:r>
    </w:p>
    <w:p w:rsidR="00EA15D9" w:rsidRDefault="00AA51AA" w:rsidP="00EA15D9">
      <w:pPr>
        <w:pStyle w:val="NormalnyWeb"/>
        <w:contextualSpacing/>
        <w:jc w:val="both"/>
      </w:pPr>
      <w:r>
        <w:t>b) zmiany dotyczące wystawiania faktur do transakcji udokumentowanych paragonami z kas fiskalnych oraz zmiany dotyczące kas fiskalnych</w:t>
      </w:r>
      <w:r w:rsidR="00EA15D9">
        <w:t xml:space="preserve"> </w:t>
      </w:r>
      <w:r>
        <w:t>- wprowadzenie e-kas</w:t>
      </w:r>
      <w:r w:rsidR="00EA15D9">
        <w:t>,</w:t>
      </w:r>
    </w:p>
    <w:p w:rsidR="00AA51AA" w:rsidRDefault="00AA51AA" w:rsidP="00EA15D9">
      <w:pPr>
        <w:pStyle w:val="NormalnyWeb"/>
        <w:contextualSpacing/>
        <w:jc w:val="both"/>
      </w:pPr>
      <w:r>
        <w:t>c) obligatoryjne stosowanie mechanizmu podzielonej płatności – jakie branże i od kiedy?</w:t>
      </w:r>
      <w:r>
        <w:br/>
        <w:t>d) likwidacja deklaracji VAT- wprowadzenie struktury JPK-DEK</w:t>
      </w:r>
      <w:r w:rsidR="00EA15D9">
        <w:t>,</w:t>
      </w:r>
    </w:p>
    <w:p w:rsidR="00C24196" w:rsidRDefault="00514385" w:rsidP="00C24196">
      <w:pPr>
        <w:pStyle w:val="NormalnyWeb"/>
        <w:tabs>
          <w:tab w:val="left" w:pos="284"/>
        </w:tabs>
        <w:contextualSpacing/>
        <w:jc w:val="both"/>
      </w:pPr>
      <w:r w:rsidRPr="00514385">
        <w:rPr>
          <w:rStyle w:val="Pogrubienie"/>
          <w:b w:val="0"/>
        </w:rPr>
        <w:t>e) faktury elektroniczne w zamówieniach publicznych:</w:t>
      </w:r>
      <w:r>
        <w:rPr>
          <w:b/>
        </w:rPr>
        <w:t xml:space="preserve"> </w:t>
      </w:r>
      <w:r>
        <w:t>czy faktury w zamówieniach publicznych będą obowiązkowe, od kiedy odbiór faktur elektronicznych będzie obowiązkowy, jakie podmioty będą obowiązane przyjmować faktury elektroniczne,</w:t>
      </w:r>
      <w:r>
        <w:rPr>
          <w:b/>
        </w:rPr>
        <w:t xml:space="preserve"> </w:t>
      </w:r>
      <w:r>
        <w:t>ustrukturyzowany format faktury – przygotowanie systemów informatycznych</w:t>
      </w:r>
      <w:r w:rsidR="00EA15D9">
        <w:t>,</w:t>
      </w:r>
    </w:p>
    <w:p w:rsidR="00BD1E73" w:rsidRDefault="00BD1E73" w:rsidP="00EA15D9">
      <w:pPr>
        <w:pStyle w:val="NormalnyWeb"/>
        <w:contextualSpacing/>
        <w:jc w:val="both"/>
      </w:pPr>
      <w:r w:rsidRPr="00BD1E73">
        <w:t>f) stawki VAT w 2019 roku</w:t>
      </w:r>
      <w:r w:rsidR="00EA15D9">
        <w:t>.</w:t>
      </w:r>
    </w:p>
    <w:p w:rsidR="00EA15D9" w:rsidRPr="00EA15D9" w:rsidRDefault="00EA15D9" w:rsidP="00EA15D9">
      <w:pPr>
        <w:pStyle w:val="NormalnyWeb"/>
        <w:contextualSpacing/>
        <w:jc w:val="both"/>
        <w:rPr>
          <w:rStyle w:val="Pogrubienie"/>
          <w:b w:val="0"/>
          <w:bCs w:val="0"/>
        </w:rPr>
      </w:pPr>
    </w:p>
    <w:p w:rsidR="00AA51AA" w:rsidRPr="00EA15D9" w:rsidRDefault="00AA51AA" w:rsidP="00AA51AA">
      <w:pPr>
        <w:pStyle w:val="NormalnyWeb"/>
        <w:rPr>
          <w:rStyle w:val="Pogrubienie"/>
          <w:color w:val="C00000"/>
          <w:u w:val="single"/>
        </w:rPr>
      </w:pPr>
      <w:r w:rsidRPr="00EA15D9">
        <w:rPr>
          <w:rStyle w:val="Pogrubienie"/>
          <w:color w:val="C00000"/>
          <w:u w:val="single"/>
        </w:rPr>
        <w:t>II część Podatek CIT w 2018 i 2019</w:t>
      </w:r>
    </w:p>
    <w:p w:rsidR="00C24196" w:rsidRDefault="00AA51AA" w:rsidP="00C24196">
      <w:pPr>
        <w:pStyle w:val="NormalnyWeb"/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EA15D9">
        <w:rPr>
          <w:b/>
        </w:rPr>
        <w:t>Planowane zmiany w CIT i PIT w 2019 r.:</w:t>
      </w:r>
    </w:p>
    <w:p w:rsidR="00C96F88" w:rsidRPr="00C24196" w:rsidRDefault="00AA51AA" w:rsidP="00C24196">
      <w:pPr>
        <w:pStyle w:val="NormalnyWeb"/>
        <w:contextualSpacing/>
        <w:jc w:val="both"/>
        <w:rPr>
          <w:b/>
        </w:rPr>
      </w:pPr>
      <w:r>
        <w:t>a) nowe zasady rozpoznawania kosztów w zakresie zakupu usług niematerialnych oraz cienkiej kapitalizacji,</w:t>
      </w:r>
      <w:r>
        <w:br/>
        <w:t>b) ulga na ,,złe długi” – prawa wierzyciela i obowiązki dłużnika,</w:t>
      </w:r>
    </w:p>
    <w:p w:rsidR="00C96F88" w:rsidRDefault="00AA51AA" w:rsidP="00C96F88">
      <w:pPr>
        <w:pStyle w:val="NormalnyWeb"/>
        <w:contextualSpacing/>
        <w:jc w:val="both"/>
      </w:pPr>
      <w:r>
        <w:t>c) zmiany w definicji małego podatnika – konsekwencje praktyczne,</w:t>
      </w:r>
    </w:p>
    <w:p w:rsidR="00C96F88" w:rsidRDefault="00AA51AA" w:rsidP="00C96F88">
      <w:pPr>
        <w:pStyle w:val="NormalnyWeb"/>
        <w:contextualSpacing/>
        <w:jc w:val="both"/>
      </w:pPr>
      <w:r>
        <w:t>d) mniejsze obowiązki informacyjne w zakresie różnic kursowych i zaliczek uproszczonych,</w:t>
      </w:r>
      <w:r>
        <w:br/>
        <w:t>e) zwolnienie z opodatkowania przychodów uzyskanych od ubezpieczyciela,</w:t>
      </w:r>
    </w:p>
    <w:p w:rsidR="00C96F88" w:rsidRDefault="00AA51AA" w:rsidP="00C96F88">
      <w:pPr>
        <w:pStyle w:val="NormalnyWeb"/>
        <w:contextualSpacing/>
        <w:jc w:val="both"/>
      </w:pPr>
      <w:r>
        <w:t>f) możliwość jednorazowego rozliczenia straty do wysokości 5 mln PLN,</w:t>
      </w:r>
    </w:p>
    <w:p w:rsidR="00514385" w:rsidRDefault="00514385" w:rsidP="00C96F88">
      <w:pPr>
        <w:pStyle w:val="NormalnyWeb"/>
        <w:contextualSpacing/>
        <w:jc w:val="both"/>
      </w:pPr>
      <w:r>
        <w:t>g</w:t>
      </w:r>
      <w:r w:rsidR="00AA51AA">
        <w:t>) obniżka stawki CIT,</w:t>
      </w:r>
    </w:p>
    <w:p w:rsidR="00C96F88" w:rsidRDefault="00514385" w:rsidP="00C96F88">
      <w:pPr>
        <w:pStyle w:val="NormalnyWeb"/>
        <w:contextualSpacing/>
        <w:jc w:val="both"/>
      </w:pPr>
      <w:r>
        <w:t>h</w:t>
      </w:r>
      <w:r w:rsidR="00AA51AA">
        <w:t>) nowy limit dla odliczania odpisów amortyzacyjnych od pojazdów samochodowych,</w:t>
      </w:r>
    </w:p>
    <w:p w:rsidR="00C96F88" w:rsidRDefault="00AA51AA" w:rsidP="00C96F88">
      <w:pPr>
        <w:pStyle w:val="NormalnyWeb"/>
        <w:contextualSpacing/>
        <w:jc w:val="both"/>
      </w:pPr>
      <w:r>
        <w:t>k) zakaz obniżania stawek amortyzacyjnych przez finansującego w trakcie trwania leasingu samochodu osobowego,</w:t>
      </w:r>
    </w:p>
    <w:p w:rsidR="00C96F88" w:rsidRDefault="00C96F88" w:rsidP="00C96F88">
      <w:pPr>
        <w:pStyle w:val="NormalnyWeb"/>
        <w:contextualSpacing/>
        <w:jc w:val="both"/>
      </w:pPr>
      <w:proofErr w:type="gramStart"/>
      <w:r>
        <w:t>l</w:t>
      </w:r>
      <w:r w:rsidR="00AA51AA">
        <w:t>) ,,</w:t>
      </w:r>
      <w:proofErr w:type="spellStart"/>
      <w:r w:rsidR="00AA51AA">
        <w:t>exit</w:t>
      </w:r>
      <w:proofErr w:type="spellEnd"/>
      <w:proofErr w:type="gramEnd"/>
      <w:r w:rsidR="00AA51AA">
        <w:t xml:space="preserve"> </w:t>
      </w:r>
      <w:proofErr w:type="spellStart"/>
      <w:r w:rsidR="00AA51AA">
        <w:t>tax</w:t>
      </w:r>
      <w:proofErr w:type="spellEnd"/>
      <w:r w:rsidR="00AA51AA">
        <w:t xml:space="preserve">” – podatek od przeniesienia biznes – kogo obejmie nowe obciążenie dochodów </w:t>
      </w:r>
      <w:r>
        <w:t xml:space="preserve">                        </w:t>
      </w:r>
      <w:r w:rsidR="00AA51AA">
        <w:t>z niezrealizowanych zysków w przypadku przeniesienia składników majątku lub rezydencji podatkowej poza terytorium RP?</w:t>
      </w:r>
      <w:r w:rsidR="00EA15D9">
        <w:t>,</w:t>
      </w:r>
    </w:p>
    <w:p w:rsidR="00C96F88" w:rsidRDefault="00514385" w:rsidP="00C96F88">
      <w:pPr>
        <w:pStyle w:val="NormalnyWeb"/>
        <w:contextualSpacing/>
        <w:jc w:val="both"/>
      </w:pPr>
      <w:r>
        <w:t>ł</w:t>
      </w:r>
      <w:r w:rsidR="00AA51AA">
        <w:t>) szczególne zasady opodatkowania obrotu walutami wirtualnymi,</w:t>
      </w:r>
    </w:p>
    <w:p w:rsidR="00C96F88" w:rsidRDefault="00514385" w:rsidP="00C96F88">
      <w:pPr>
        <w:pStyle w:val="NormalnyWeb"/>
        <w:contextualSpacing/>
        <w:jc w:val="both"/>
      </w:pPr>
      <w:r>
        <w:t>m</w:t>
      </w:r>
      <w:r w:rsidR="00AA51AA">
        <w:t>) kopia certyfikatu rezydencji w systemie podatku u źródła,</w:t>
      </w:r>
    </w:p>
    <w:p w:rsidR="006975F4" w:rsidRDefault="00514385" w:rsidP="00C96F88">
      <w:pPr>
        <w:pStyle w:val="NormalnyWeb"/>
        <w:contextualSpacing/>
        <w:jc w:val="both"/>
      </w:pPr>
      <w:r>
        <w:t>n</w:t>
      </w:r>
      <w:r w:rsidR="00AA51AA">
        <w:t>) zmiany w zakresie opodatkowania nieruchomości komercyjnych – nowe zasady wyliczenia tzw. minimalnego podatku dochodowego.</w:t>
      </w:r>
    </w:p>
    <w:p w:rsidR="00EA15D9" w:rsidRDefault="00EA15D9" w:rsidP="00AA51AA">
      <w:pPr>
        <w:pStyle w:val="NormalnyWeb"/>
        <w:contextualSpacing/>
      </w:pPr>
    </w:p>
    <w:p w:rsidR="00C96F88" w:rsidRDefault="00AA51AA" w:rsidP="00C96F88">
      <w:pPr>
        <w:pStyle w:val="NormalnyWeb"/>
        <w:spacing w:before="0" w:beforeAutospacing="0" w:after="0" w:afterAutospacing="0"/>
        <w:jc w:val="both"/>
      </w:pPr>
      <w:r w:rsidRPr="00EA15D9">
        <w:rPr>
          <w:b/>
        </w:rPr>
        <w:t xml:space="preserve">2. Ceny transferowe – omówienie planowanych zmian na 2019 r. w szczególności: </w:t>
      </w:r>
      <w:r w:rsidRPr="00EA15D9">
        <w:rPr>
          <w:b/>
        </w:rPr>
        <w:br/>
      </w:r>
      <w:r>
        <w:t>a) zmiany w progach dokumentacyjnych,</w:t>
      </w:r>
    </w:p>
    <w:p w:rsidR="00C96F88" w:rsidRDefault="00AA51AA" w:rsidP="00C96F88">
      <w:pPr>
        <w:pStyle w:val="NormalnyWeb"/>
        <w:spacing w:before="0" w:beforeAutospacing="0" w:after="0" w:afterAutospacing="0"/>
        <w:jc w:val="both"/>
      </w:pPr>
      <w:r>
        <w:t>b) nowe terminy na sporządzenie dokumentacji TP,</w:t>
      </w:r>
    </w:p>
    <w:p w:rsidR="00C96F88" w:rsidRDefault="00AA51AA" w:rsidP="00C96F88">
      <w:pPr>
        <w:pStyle w:val="NormalnyWeb"/>
        <w:spacing w:before="0" w:beforeAutospacing="0" w:after="0" w:afterAutospacing="0"/>
        <w:jc w:val="both"/>
      </w:pPr>
      <w:r>
        <w:t>c) nowe zasady sporządzania dokumentacji grupowej,</w:t>
      </w:r>
    </w:p>
    <w:p w:rsidR="00C96F88" w:rsidRDefault="00AA51AA" w:rsidP="00C96F88">
      <w:pPr>
        <w:pStyle w:val="NormalnyWeb"/>
        <w:spacing w:before="0" w:beforeAutospacing="0" w:after="0" w:afterAutospacing="0"/>
        <w:jc w:val="both"/>
      </w:pPr>
      <w:r>
        <w:t xml:space="preserve">d) uproszczone zasady dokumentacji pożyczek i usług o niskiej wartości dodanej – koniec </w:t>
      </w:r>
      <w:r w:rsidR="0011454C">
        <w:t xml:space="preserve">                     </w:t>
      </w:r>
      <w:bookmarkStart w:id="0" w:name="_GoBack"/>
      <w:bookmarkEnd w:id="0"/>
      <w:r>
        <w:t xml:space="preserve">z analizą </w:t>
      </w:r>
      <w:proofErr w:type="spellStart"/>
      <w:r>
        <w:t>benchmarkingową</w:t>
      </w:r>
      <w:proofErr w:type="spellEnd"/>
      <w:r>
        <w:t>,</w:t>
      </w:r>
    </w:p>
    <w:p w:rsidR="00C96F88" w:rsidRDefault="00AA51AA" w:rsidP="00C96F88">
      <w:pPr>
        <w:pStyle w:val="NormalnyWeb"/>
        <w:spacing w:before="0" w:beforeAutospacing="0" w:after="0" w:afterAutospacing="0"/>
        <w:jc w:val="both"/>
      </w:pPr>
      <w:r>
        <w:t>e) uproszczone zasady rozliczeń,</w:t>
      </w:r>
    </w:p>
    <w:p w:rsidR="00C96F88" w:rsidRDefault="00AA51AA" w:rsidP="00C96F88">
      <w:pPr>
        <w:pStyle w:val="NormalnyWeb"/>
        <w:spacing w:before="0" w:beforeAutospacing="0" w:after="0" w:afterAutospacing="0"/>
        <w:jc w:val="both"/>
      </w:pPr>
      <w:r>
        <w:t>f) raportowanie cen transferowych na elektronicznym formularzu TP-R,</w:t>
      </w:r>
    </w:p>
    <w:p w:rsidR="00C96F88" w:rsidRDefault="00AA51AA" w:rsidP="00C96F88">
      <w:pPr>
        <w:pStyle w:val="NormalnyWeb"/>
        <w:spacing w:before="0" w:beforeAutospacing="0" w:after="0" w:afterAutospacing="0"/>
        <w:jc w:val="both"/>
      </w:pPr>
      <w:r>
        <w:t>g) metody szacowania cen transferowych spoza katalogu MF,</w:t>
      </w:r>
    </w:p>
    <w:p w:rsidR="00AA51AA" w:rsidRDefault="00AA51AA" w:rsidP="00C96F88">
      <w:pPr>
        <w:pStyle w:val="NormalnyWeb"/>
        <w:spacing w:before="0" w:beforeAutospacing="0" w:after="0" w:afterAutospacing="0"/>
        <w:jc w:val="both"/>
      </w:pPr>
      <w:r>
        <w:t>h) implementacja nowych wytycznych OECD, pozostałe zmiany – skutki praktyczne.</w:t>
      </w:r>
    </w:p>
    <w:sectPr w:rsidR="00AA51AA" w:rsidSect="00EA15D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789B"/>
    <w:multiLevelType w:val="hybridMultilevel"/>
    <w:tmpl w:val="D438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AA"/>
    <w:rsid w:val="0011454C"/>
    <w:rsid w:val="001A4AB2"/>
    <w:rsid w:val="00514385"/>
    <w:rsid w:val="006975F4"/>
    <w:rsid w:val="007B265F"/>
    <w:rsid w:val="00AA51AA"/>
    <w:rsid w:val="00BD1E73"/>
    <w:rsid w:val="00C24196"/>
    <w:rsid w:val="00C96F88"/>
    <w:rsid w:val="00E05397"/>
    <w:rsid w:val="00E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EE1"/>
  <w15:chartTrackingRefBased/>
  <w15:docId w15:val="{6617FDB0-07C6-49CF-9AD4-54DB033C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Rzeszutek</dc:creator>
  <cp:keywords/>
  <dc:description/>
  <cp:lastModifiedBy>SOCP-GOSIA</cp:lastModifiedBy>
  <cp:revision>9</cp:revision>
  <cp:lastPrinted>2018-09-21T06:01:00Z</cp:lastPrinted>
  <dcterms:created xsi:type="dcterms:W3CDTF">2018-09-13T17:21:00Z</dcterms:created>
  <dcterms:modified xsi:type="dcterms:W3CDTF">2018-09-21T06:07:00Z</dcterms:modified>
</cp:coreProperties>
</file>